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8E" w:rsidRPr="00C0568E" w:rsidRDefault="00C0568E" w:rsidP="00D55754">
      <w:pPr>
        <w:numPr>
          <w:ilvl w:val="0"/>
          <w:numId w:val="1"/>
        </w:numPr>
        <w:jc w:val="both"/>
        <w:rPr>
          <w:rFonts w:ascii="Arial" w:hAnsi="Arial" w:cs="Arial"/>
          <w:sz w:val="22"/>
          <w:szCs w:val="22"/>
        </w:rPr>
      </w:pPr>
      <w:bookmarkStart w:id="0" w:name="_GoBack"/>
      <w:bookmarkEnd w:id="0"/>
      <w:r>
        <w:rPr>
          <w:rFonts w:ascii="Arial" w:hAnsi="Arial" w:cs="Arial"/>
          <w:sz w:val="22"/>
          <w:szCs w:val="22"/>
        </w:rPr>
        <w:t xml:space="preserve">Following the passage of the </w:t>
      </w:r>
      <w:r>
        <w:rPr>
          <w:rFonts w:ascii="Arial" w:hAnsi="Arial" w:cs="Arial"/>
          <w:i/>
          <w:sz w:val="22"/>
          <w:szCs w:val="22"/>
        </w:rPr>
        <w:t>Fair Work (Commonwealth Powers) and Other Provisions Act 2009</w:t>
      </w:r>
      <w:r>
        <w:rPr>
          <w:rFonts w:ascii="Arial" w:hAnsi="Arial" w:cs="Arial"/>
          <w:sz w:val="22"/>
          <w:szCs w:val="22"/>
        </w:rPr>
        <w:t xml:space="preserve"> </w:t>
      </w:r>
      <w:r w:rsidR="0013444A">
        <w:rPr>
          <w:rFonts w:ascii="Arial" w:hAnsi="Arial" w:cs="Arial"/>
          <w:sz w:val="22"/>
          <w:szCs w:val="22"/>
        </w:rPr>
        <w:t>(the Referral Act)</w:t>
      </w:r>
      <w:r w:rsidR="00FF08C1">
        <w:rPr>
          <w:rFonts w:ascii="Arial" w:hAnsi="Arial" w:cs="Arial"/>
          <w:sz w:val="22"/>
          <w:szCs w:val="22"/>
        </w:rPr>
        <w:t>,</w:t>
      </w:r>
      <w:r w:rsidR="0013444A">
        <w:rPr>
          <w:rFonts w:ascii="Arial" w:hAnsi="Arial" w:cs="Arial"/>
          <w:sz w:val="22"/>
          <w:szCs w:val="22"/>
        </w:rPr>
        <w:t xml:space="preserve"> </w:t>
      </w:r>
      <w:r>
        <w:rPr>
          <w:rFonts w:ascii="Arial" w:hAnsi="Arial" w:cs="Arial"/>
          <w:sz w:val="22"/>
          <w:szCs w:val="22"/>
        </w:rPr>
        <w:t xml:space="preserve">regulatory power over </w:t>
      </w:r>
      <w:smartTag w:uri="urn:schemas-microsoft-com:office:smarttags" w:element="place">
        <w:smartTag w:uri="urn:schemas-microsoft-com:office:smarttags" w:element="State">
          <w:r>
            <w:rPr>
              <w:rFonts w:ascii="Arial" w:hAnsi="Arial" w:cs="Arial"/>
              <w:sz w:val="22"/>
              <w:szCs w:val="22"/>
            </w:rPr>
            <w:t>Queensland</w:t>
          </w:r>
        </w:smartTag>
      </w:smartTag>
      <w:r>
        <w:rPr>
          <w:rFonts w:ascii="Arial" w:hAnsi="Arial" w:cs="Arial"/>
          <w:sz w:val="22"/>
          <w:szCs w:val="22"/>
        </w:rPr>
        <w:t xml:space="preserve">’s unincorporated private sector employers was referred to the Commonwealth Government.  </w:t>
      </w:r>
      <w:r w:rsidR="0013444A">
        <w:rPr>
          <w:rFonts w:ascii="Arial" w:hAnsi="Arial" w:cs="Arial"/>
          <w:sz w:val="22"/>
          <w:szCs w:val="22"/>
        </w:rPr>
        <w:t xml:space="preserve">The referral of powers transferred approximately 14% of </w:t>
      </w:r>
      <w:smartTag w:uri="urn:schemas-microsoft-com:office:smarttags" w:element="place">
        <w:smartTag w:uri="urn:schemas-microsoft-com:office:smarttags" w:element="State">
          <w:r w:rsidR="0013444A">
            <w:rPr>
              <w:rFonts w:ascii="Arial" w:hAnsi="Arial" w:cs="Arial"/>
              <w:sz w:val="22"/>
              <w:szCs w:val="22"/>
            </w:rPr>
            <w:t>Queensland</w:t>
          </w:r>
        </w:smartTag>
      </w:smartTag>
      <w:r w:rsidR="0013444A">
        <w:rPr>
          <w:rFonts w:ascii="Arial" w:hAnsi="Arial" w:cs="Arial"/>
          <w:sz w:val="22"/>
          <w:szCs w:val="22"/>
        </w:rPr>
        <w:t xml:space="preserve"> employees to the </w:t>
      </w:r>
      <w:r w:rsidR="00FF08C1">
        <w:rPr>
          <w:rFonts w:ascii="Arial" w:hAnsi="Arial" w:cs="Arial"/>
          <w:sz w:val="22"/>
          <w:szCs w:val="22"/>
        </w:rPr>
        <w:t xml:space="preserve">Federal </w:t>
      </w:r>
      <w:r w:rsidR="0013444A">
        <w:rPr>
          <w:rFonts w:ascii="Arial" w:hAnsi="Arial" w:cs="Arial"/>
          <w:sz w:val="22"/>
          <w:szCs w:val="22"/>
        </w:rPr>
        <w:t xml:space="preserve">industrial relations system.  </w:t>
      </w:r>
    </w:p>
    <w:p w:rsidR="00C0568E" w:rsidRPr="00C0568E" w:rsidRDefault="00C0568E" w:rsidP="00D55754">
      <w:pPr>
        <w:jc w:val="both"/>
        <w:rPr>
          <w:rFonts w:ascii="Arial" w:hAnsi="Arial" w:cs="Arial"/>
          <w:sz w:val="22"/>
          <w:szCs w:val="22"/>
        </w:rPr>
      </w:pPr>
    </w:p>
    <w:p w:rsidR="00C0568E" w:rsidRDefault="0013444A" w:rsidP="00D55754">
      <w:pPr>
        <w:numPr>
          <w:ilvl w:val="0"/>
          <w:numId w:val="1"/>
        </w:numPr>
        <w:jc w:val="both"/>
        <w:rPr>
          <w:rFonts w:ascii="Arial" w:hAnsi="Arial" w:cs="Arial"/>
          <w:sz w:val="22"/>
          <w:szCs w:val="22"/>
        </w:rPr>
      </w:pPr>
      <w:r>
        <w:rPr>
          <w:rFonts w:ascii="Arial" w:hAnsi="Arial" w:cs="Arial"/>
          <w:sz w:val="22"/>
          <w:szCs w:val="22"/>
        </w:rPr>
        <w:t xml:space="preserve">Under the terms of the Referral Act, the referral of powers may be completely or partially terminated by proclamation published in the Gazette.  The date for withdrawal must, in most circumstances, be at least six months from the date of the proclamation.  </w:t>
      </w:r>
    </w:p>
    <w:p w:rsidR="0013444A" w:rsidRDefault="0013444A" w:rsidP="00D55754">
      <w:pPr>
        <w:jc w:val="both"/>
        <w:rPr>
          <w:rFonts w:ascii="Arial" w:hAnsi="Arial" w:cs="Arial"/>
          <w:sz w:val="22"/>
          <w:szCs w:val="22"/>
        </w:rPr>
      </w:pPr>
    </w:p>
    <w:p w:rsidR="00FF08C1" w:rsidRDefault="0013444A" w:rsidP="00D55754">
      <w:pPr>
        <w:numPr>
          <w:ilvl w:val="0"/>
          <w:numId w:val="1"/>
        </w:numPr>
        <w:jc w:val="both"/>
        <w:rPr>
          <w:rFonts w:ascii="Arial" w:hAnsi="Arial" w:cs="Arial"/>
          <w:sz w:val="22"/>
          <w:szCs w:val="22"/>
        </w:rPr>
      </w:pPr>
      <w:r w:rsidRPr="007D10E4">
        <w:rPr>
          <w:rFonts w:ascii="Arial" w:hAnsi="Arial" w:cs="Arial"/>
          <w:sz w:val="22"/>
          <w:szCs w:val="22"/>
          <w:u w:val="single"/>
        </w:rPr>
        <w:t>C</w:t>
      </w:r>
      <w:r w:rsidRPr="00D55754">
        <w:rPr>
          <w:rFonts w:ascii="Arial" w:hAnsi="Arial" w:cs="Arial"/>
          <w:sz w:val="22"/>
          <w:szCs w:val="22"/>
          <w:u w:val="single"/>
        </w:rPr>
        <w:t>abinet approved</w:t>
      </w:r>
      <w:r>
        <w:rPr>
          <w:rFonts w:ascii="Arial" w:hAnsi="Arial" w:cs="Arial"/>
          <w:sz w:val="22"/>
          <w:szCs w:val="22"/>
        </w:rPr>
        <w:t xml:space="preserve"> that </w:t>
      </w:r>
      <w:r w:rsidR="00392686">
        <w:rPr>
          <w:rFonts w:ascii="Arial" w:hAnsi="Arial" w:cs="Arial"/>
          <w:sz w:val="22"/>
          <w:szCs w:val="22"/>
        </w:rPr>
        <w:t xml:space="preserve">consultation be undertaken with employer groups and the business community to determine the most appropriate </w:t>
      </w:r>
      <w:r w:rsidR="00F54C83">
        <w:rPr>
          <w:rFonts w:ascii="Arial" w:hAnsi="Arial" w:cs="Arial"/>
          <w:sz w:val="22"/>
          <w:szCs w:val="22"/>
        </w:rPr>
        <w:t>industrial relations</w:t>
      </w:r>
      <w:r w:rsidR="00392686">
        <w:rPr>
          <w:rFonts w:ascii="Arial" w:hAnsi="Arial" w:cs="Arial"/>
          <w:sz w:val="22"/>
          <w:szCs w:val="22"/>
        </w:rPr>
        <w:t xml:space="preserve"> arrangements for the unincorporated private sector in Queensland.</w:t>
      </w:r>
    </w:p>
    <w:p w:rsidR="00FF08C1" w:rsidRDefault="00FF08C1" w:rsidP="00D55754">
      <w:pPr>
        <w:spacing w:before="120"/>
        <w:jc w:val="both"/>
        <w:rPr>
          <w:rFonts w:ascii="Arial" w:hAnsi="Arial" w:cs="Arial"/>
          <w:sz w:val="22"/>
          <w:szCs w:val="22"/>
        </w:rPr>
      </w:pPr>
    </w:p>
    <w:p w:rsidR="00F54C83" w:rsidRDefault="00F54C83" w:rsidP="00D55754">
      <w:pPr>
        <w:numPr>
          <w:ilvl w:val="0"/>
          <w:numId w:val="1"/>
        </w:numPr>
        <w:jc w:val="both"/>
        <w:rPr>
          <w:rFonts w:ascii="Arial" w:hAnsi="Arial" w:cs="Arial"/>
          <w:i/>
          <w:sz w:val="22"/>
          <w:szCs w:val="22"/>
          <w:u w:val="single"/>
        </w:rPr>
      </w:pPr>
      <w:r w:rsidRPr="00FF08C1">
        <w:rPr>
          <w:rFonts w:ascii="Arial" w:hAnsi="Arial" w:cs="Arial"/>
          <w:i/>
          <w:sz w:val="22"/>
          <w:szCs w:val="22"/>
          <w:u w:val="single"/>
        </w:rPr>
        <w:t>Attachments</w:t>
      </w:r>
    </w:p>
    <w:p w:rsidR="00F54C83" w:rsidRPr="00D55754" w:rsidRDefault="00FF08C1" w:rsidP="00D55754">
      <w:pPr>
        <w:numPr>
          <w:ilvl w:val="0"/>
          <w:numId w:val="3"/>
        </w:numPr>
        <w:spacing w:before="120"/>
        <w:jc w:val="both"/>
        <w:rPr>
          <w:rFonts w:ascii="Arial" w:hAnsi="Arial" w:cs="Arial"/>
          <w:sz w:val="22"/>
          <w:szCs w:val="22"/>
        </w:rPr>
      </w:pPr>
      <w:r w:rsidRPr="00D55754">
        <w:rPr>
          <w:rFonts w:ascii="Arial" w:hAnsi="Arial" w:cs="Arial"/>
          <w:sz w:val="22"/>
          <w:szCs w:val="22"/>
        </w:rPr>
        <w:t>Nil.</w:t>
      </w:r>
    </w:p>
    <w:sectPr w:rsidR="00F54C83" w:rsidRPr="00D55754" w:rsidSect="00AE73AB">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9BA" w:rsidRDefault="00F869BA">
      <w:r>
        <w:separator/>
      </w:r>
    </w:p>
  </w:endnote>
  <w:endnote w:type="continuationSeparator" w:id="0">
    <w:p w:rsidR="00F869BA" w:rsidRDefault="00F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9BA" w:rsidRDefault="00F869BA">
      <w:r>
        <w:separator/>
      </w:r>
    </w:p>
  </w:footnote>
  <w:footnote w:type="continuationSeparator" w:id="0">
    <w:p w:rsidR="00F869BA" w:rsidRDefault="00F8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71" w:rsidRDefault="00D07471" w:rsidP="00D074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Pr>
        <w:rFonts w:ascii="Arial" w:hAnsi="Arial" w:cs="Arial"/>
        <w:b/>
        <w:sz w:val="28"/>
        <w:szCs w:val="22"/>
      </w:rPr>
      <w:t>Queensland Government</w:t>
    </w:r>
  </w:p>
  <w:p w:rsidR="00D07471" w:rsidRDefault="00D07471" w:rsidP="00D074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D07471" w:rsidRDefault="00D07471" w:rsidP="00D07471">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Cabinet – October 2012</w:t>
    </w:r>
  </w:p>
  <w:p w:rsidR="0043596B" w:rsidRDefault="00881B94" w:rsidP="00C0568E">
    <w:pPr>
      <w:pStyle w:val="Header"/>
      <w:spacing w:before="120"/>
      <w:rPr>
        <w:rFonts w:ascii="Arial" w:hAnsi="Arial" w:cs="Arial"/>
        <w:b/>
        <w:sz w:val="22"/>
        <w:szCs w:val="22"/>
        <w:u w:val="single"/>
      </w:rPr>
    </w:pPr>
    <w:r>
      <w:rPr>
        <w:rFonts w:ascii="Arial" w:hAnsi="Arial" w:cs="Arial"/>
        <w:b/>
        <w:sz w:val="22"/>
        <w:szCs w:val="22"/>
        <w:u w:val="single"/>
      </w:rPr>
      <w:t>R</w:t>
    </w:r>
    <w:r w:rsidR="0043596B">
      <w:rPr>
        <w:rFonts w:ascii="Arial" w:hAnsi="Arial" w:cs="Arial"/>
        <w:b/>
        <w:sz w:val="22"/>
        <w:szCs w:val="22"/>
        <w:u w:val="single"/>
      </w:rPr>
      <w:t>eferra</w:t>
    </w:r>
    <w:r w:rsidR="0043596B" w:rsidRPr="00C0568E">
      <w:rPr>
        <w:rFonts w:ascii="Arial" w:hAnsi="Arial" w:cs="Arial"/>
        <w:b/>
        <w:sz w:val="22"/>
        <w:szCs w:val="22"/>
        <w:u w:val="single"/>
      </w:rPr>
      <w:t>l of State industrial relations jurisdiction for the private sector to the Commonwealth</w:t>
    </w:r>
  </w:p>
  <w:p w:rsidR="0043596B" w:rsidRDefault="0043596B" w:rsidP="00C0568E">
    <w:pPr>
      <w:pStyle w:val="Header"/>
      <w:spacing w:before="120"/>
      <w:rPr>
        <w:rFonts w:ascii="Arial" w:hAnsi="Arial" w:cs="Arial"/>
        <w:b/>
        <w:sz w:val="22"/>
        <w:szCs w:val="22"/>
        <w:u w:val="single"/>
      </w:rPr>
    </w:pPr>
    <w:r>
      <w:rPr>
        <w:rFonts w:ascii="Arial" w:hAnsi="Arial" w:cs="Arial"/>
        <w:b/>
        <w:sz w:val="22"/>
        <w:szCs w:val="22"/>
        <w:u w:val="single"/>
      </w:rPr>
      <w:t>Attorney-General and Minister for Justice</w:t>
    </w:r>
  </w:p>
  <w:p w:rsidR="0043596B" w:rsidRPr="00F10DF9" w:rsidRDefault="0043596B" w:rsidP="00C0568E">
    <w:pPr>
      <w:pStyle w:val="Header"/>
      <w:pBdr>
        <w:bottom w:val="single" w:sz="8" w:space="1" w:color="auto"/>
      </w:pBdr>
      <w:spacing w:line="180" w:lineRule="exact"/>
      <w:rPr>
        <w:rFonts w:ascii="Arial" w:hAnsi="Arial" w:cs="Arial"/>
        <w:sz w:val="22"/>
        <w:szCs w:val="22"/>
      </w:rPr>
    </w:pPr>
  </w:p>
  <w:p w:rsidR="0043596B" w:rsidRDefault="00435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E04B7"/>
    <w:multiLevelType w:val="multilevel"/>
    <w:tmpl w:val="DF16FA80"/>
    <w:lvl w:ilvl="0">
      <w:start w:val="1"/>
      <w:numFmt w:val="decimal"/>
      <w:lvlText w:val="%1."/>
      <w:lvlJc w:val="left"/>
      <w:pPr>
        <w:tabs>
          <w:tab w:val="num" w:pos="357"/>
        </w:tabs>
        <w:ind w:left="357" w:hanging="357"/>
      </w:pPr>
      <w:rPr>
        <w:rFonts w:ascii="Arial" w:hAnsi="Arial" w:hint="default"/>
        <w:b w:val="0"/>
        <w:i w:val="0"/>
        <w:sz w:val="22"/>
      </w:rPr>
    </w:lvl>
    <w:lvl w:ilvl="1">
      <w:start w:val="1"/>
      <w:numFmt w:val="bullet"/>
      <w:lvlText w:val="-"/>
      <w:lvlJc w:val="left"/>
      <w:pPr>
        <w:tabs>
          <w:tab w:val="num" w:pos="1440"/>
        </w:tabs>
        <w:ind w:left="1440" w:hanging="360"/>
      </w:pPr>
      <w:rPr>
        <w:rFonts w:ascii="Arial" w:hAnsi="Arial"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E0C47C1"/>
    <w:multiLevelType w:val="hybridMultilevel"/>
    <w:tmpl w:val="FA9E1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A319A"/>
    <w:multiLevelType w:val="hybridMultilevel"/>
    <w:tmpl w:val="2AE84ECE"/>
    <w:lvl w:ilvl="0" w:tplc="FCAE4A6C">
      <w:start w:val="1"/>
      <w:numFmt w:val="decimal"/>
      <w:lvlText w:val="%1."/>
      <w:lvlJc w:val="left"/>
      <w:pPr>
        <w:tabs>
          <w:tab w:val="num" w:pos="357"/>
        </w:tabs>
        <w:ind w:left="357" w:hanging="357"/>
      </w:pPr>
      <w:rPr>
        <w:rFonts w:ascii="Arial" w:hAnsi="Arial" w:hint="default"/>
        <w:b w:val="0"/>
        <w:i w:val="0"/>
        <w:sz w:val="22"/>
      </w:rPr>
    </w:lvl>
    <w:lvl w:ilvl="1" w:tplc="0C090001">
      <w:start w:val="1"/>
      <w:numFmt w:val="bullet"/>
      <w:lvlText w:val=""/>
      <w:lvlJc w:val="left"/>
      <w:pPr>
        <w:tabs>
          <w:tab w:val="num" w:pos="1440"/>
        </w:tabs>
        <w:ind w:left="1440" w:hanging="360"/>
      </w:pPr>
      <w:rPr>
        <w:rFonts w:ascii="Symbol" w:hAnsi="Symbol" w:hint="default"/>
        <w:b w:val="0"/>
        <w:i w:val="0"/>
        <w:sz w:val="22"/>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8E"/>
    <w:rsid w:val="000F2FE7"/>
    <w:rsid w:val="0013444A"/>
    <w:rsid w:val="001A6A77"/>
    <w:rsid w:val="001C58E1"/>
    <w:rsid w:val="0029680E"/>
    <w:rsid w:val="003154FF"/>
    <w:rsid w:val="003237AB"/>
    <w:rsid w:val="00392686"/>
    <w:rsid w:val="003A5DAD"/>
    <w:rsid w:val="003E3C9B"/>
    <w:rsid w:val="003F435E"/>
    <w:rsid w:val="0043596B"/>
    <w:rsid w:val="006D3902"/>
    <w:rsid w:val="00763D79"/>
    <w:rsid w:val="007D10E4"/>
    <w:rsid w:val="0080714D"/>
    <w:rsid w:val="00815618"/>
    <w:rsid w:val="00844DC4"/>
    <w:rsid w:val="00881B94"/>
    <w:rsid w:val="008C22EF"/>
    <w:rsid w:val="00935A14"/>
    <w:rsid w:val="0094684B"/>
    <w:rsid w:val="0096595E"/>
    <w:rsid w:val="009921BC"/>
    <w:rsid w:val="00A33F39"/>
    <w:rsid w:val="00A72B3C"/>
    <w:rsid w:val="00A8709F"/>
    <w:rsid w:val="00AE73AB"/>
    <w:rsid w:val="00B0662E"/>
    <w:rsid w:val="00B15FAB"/>
    <w:rsid w:val="00B23EC0"/>
    <w:rsid w:val="00BF6128"/>
    <w:rsid w:val="00C0568E"/>
    <w:rsid w:val="00C23852"/>
    <w:rsid w:val="00C31F35"/>
    <w:rsid w:val="00CF3D85"/>
    <w:rsid w:val="00D07471"/>
    <w:rsid w:val="00D55754"/>
    <w:rsid w:val="00DA430A"/>
    <w:rsid w:val="00E707C1"/>
    <w:rsid w:val="00ED0821"/>
    <w:rsid w:val="00F01948"/>
    <w:rsid w:val="00F25A27"/>
    <w:rsid w:val="00F54C83"/>
    <w:rsid w:val="00F869BA"/>
    <w:rsid w:val="00FB6564"/>
    <w:rsid w:val="00FF0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568E"/>
    <w:pPr>
      <w:tabs>
        <w:tab w:val="center" w:pos="4153"/>
        <w:tab w:val="right" w:pos="8306"/>
      </w:tabs>
    </w:pPr>
    <w:rPr>
      <w:szCs w:val="20"/>
    </w:rPr>
  </w:style>
  <w:style w:type="character" w:customStyle="1" w:styleId="HeaderChar">
    <w:name w:val="Header Char"/>
    <w:basedOn w:val="DefaultParagraphFont"/>
    <w:link w:val="Header"/>
    <w:locked/>
    <w:rsid w:val="00C0568E"/>
    <w:rPr>
      <w:sz w:val="24"/>
      <w:lang w:val="en-AU" w:eastAsia="en-AU" w:bidi="ar-SA"/>
    </w:rPr>
  </w:style>
  <w:style w:type="paragraph" w:styleId="Footer">
    <w:name w:val="footer"/>
    <w:basedOn w:val="Normal"/>
    <w:rsid w:val="00C0568E"/>
    <w:pPr>
      <w:tabs>
        <w:tab w:val="center" w:pos="4153"/>
        <w:tab w:val="right" w:pos="8306"/>
      </w:tabs>
    </w:pPr>
  </w:style>
  <w:style w:type="paragraph" w:styleId="BalloonText">
    <w:name w:val="Balloon Text"/>
    <w:basedOn w:val="Normal"/>
    <w:semiHidden/>
    <w:rsid w:val="00392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7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CharactersWithSpaces>
  <SharedDoc>false</SharedDoc>
  <HyperlinkBase>https://www.cabinet.qld.gov.au/documents/2012/Oct/Referral of IR/</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2012-11-30T01:47:00Z</cp:lastPrinted>
  <dcterms:created xsi:type="dcterms:W3CDTF">2017-10-24T23:21:00Z</dcterms:created>
  <dcterms:modified xsi:type="dcterms:W3CDTF">2018-03-06T01:15:00Z</dcterms:modified>
  <cp:category>Industrial_Relations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1200310469</vt:i4>
  </property>
  <property fmtid="{D5CDD505-2E9C-101B-9397-08002B2CF9AE}" pid="3" name="_NewReviewCycle">
    <vt:lpwstr/>
  </property>
  <property fmtid="{D5CDD505-2E9C-101B-9397-08002B2CF9AE}" pid="4" name="_PreviousAdHocReviewCycleID">
    <vt:i4>1238429588</vt:i4>
  </property>
  <property fmtid="{D5CDD505-2E9C-101B-9397-08002B2CF9AE}" pid="5" name="_ReviewingToolsShownOnce">
    <vt:lpwstr/>
  </property>
</Properties>
</file>